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E62" w:rsidRPr="00C61E62" w:rsidRDefault="00C61E62" w:rsidP="00C61E62">
      <w:r w:rsidRPr="00C61E62">
        <w:rPr>
          <w:b/>
          <w:bCs/>
        </w:rPr>
        <w:t xml:space="preserve">Art. 19 </w:t>
      </w:r>
      <w:r w:rsidRPr="00C61E62">
        <w:rPr>
          <w:b/>
          <w:bCs/>
          <w:i/>
          <w:iCs/>
        </w:rPr>
        <w:t xml:space="preserve">bis </w:t>
      </w:r>
      <w:r w:rsidRPr="00C61E62">
        <w:t xml:space="preserve">Provvedimento 16 aprile 2014 </w:t>
      </w:r>
    </w:p>
    <w:p w:rsidR="00C61E62" w:rsidRPr="00C61E62" w:rsidRDefault="00C61E62" w:rsidP="00C61E62">
      <w:r w:rsidRPr="00C61E62">
        <w:rPr>
          <w:b/>
          <w:bCs/>
        </w:rPr>
        <w:t xml:space="preserve">Notificazioni per via telematica eseguite dagli avvocati – art. 18 del regolamento </w:t>
      </w:r>
    </w:p>
    <w:p w:rsidR="00C61E62" w:rsidRPr="00C61E62" w:rsidRDefault="00C61E62" w:rsidP="00C61E62">
      <w:r w:rsidRPr="00C61E62">
        <w:t xml:space="preserve">1. Qualora l’atto da notificarsi sia un documento originale informatico, esso deve essere in formato PDF e ottenuto da una trasformazione di un documento testuale, senza restrizioni per le operazioni di selezione e copia di parti; non è ammessa la scansione di immagini. Il documento informatico così ottenuto è allegato al messaggio di posta elettronica certificata. </w:t>
      </w:r>
    </w:p>
    <w:p w:rsidR="00C61E62" w:rsidRPr="00C61E62" w:rsidRDefault="00C61E62" w:rsidP="00C61E62">
      <w:r w:rsidRPr="00C61E62">
        <w:t xml:space="preserve">2. Nei casi diversi dal comma 1, i documenti informatici o copie informatiche, anche per immagine, di documenti analogici, allegati al messaggio di posta elettronica certificata, sono privi di elementi attivi, tra cui macro e campi variabili, e sono consentiti in formato PDF. </w:t>
      </w:r>
    </w:p>
    <w:p w:rsidR="00C61E62" w:rsidRPr="00C61E62" w:rsidRDefault="00C61E62" w:rsidP="00C61E62">
      <w:r w:rsidRPr="00C61E62">
        <w:t xml:space="preserve">3. Nei casi in cui l'atto da notificarsi sia l'atto del processo da trasmettere telematicamente all’ufficio giudiziario (esempio: atto di citazione), si procede ai sensi del precedente comma 1. </w:t>
      </w:r>
    </w:p>
    <w:p w:rsidR="00C61E62" w:rsidRPr="00C61E62" w:rsidRDefault="00C61E62" w:rsidP="00C61E62">
      <w:r w:rsidRPr="00C61E62">
        <w:t xml:space="preserve">4. Qualora il documento informatico, di cui ai commi precedenti, sia sottoscritto con firma digitale o firma elettronica qualificata, si applica quanto previsto all’articolo 12, comma 2. </w:t>
      </w:r>
    </w:p>
    <w:p w:rsidR="00C61E62" w:rsidRPr="00C61E62" w:rsidRDefault="00C61E62" w:rsidP="00C61E62">
      <w:r w:rsidRPr="00C61E62">
        <w:t xml:space="preserve">5. La trasmissione in via telematica all’ufficio giudiziario delle ricevute previste dall’articolo 3-bis, comma 3, della legge 21 gennaio 1994, n. 53, nonché della copia dell’atto notificato ai sensi dell’articolo 9, comma 1, della medesima legge, è effettuata inserendo l'atto notificato all'interno della busta telematica di cui all'art 14 e, come allegati, la ricevuta di accettazione e la ricevuta di avvenuta consegna relativa ad ogni destinatario della notificazione; i dati identificativi relativi alle ricevute sono inseriti nel file DatiAtto.xml di cui all’articolo 12, comma 1, lettera e. </w:t>
      </w:r>
    </w:p>
    <w:p w:rsidR="00D31CE9" w:rsidRDefault="00D31CE9">
      <w:bookmarkStart w:id="0" w:name="_GoBack"/>
      <w:bookmarkEnd w:id="0"/>
    </w:p>
    <w:sectPr w:rsidR="00D31C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62"/>
    <w:rsid w:val="00C61E62"/>
    <w:rsid w:val="00D3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Ciriello</dc:creator>
  <cp:lastModifiedBy>Antonella Ciriello</cp:lastModifiedBy>
  <cp:revision>1</cp:revision>
  <dcterms:created xsi:type="dcterms:W3CDTF">2015-12-10T11:29:00Z</dcterms:created>
  <dcterms:modified xsi:type="dcterms:W3CDTF">2015-12-10T11:29:00Z</dcterms:modified>
</cp:coreProperties>
</file>